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E9" w:rsidRDefault="005002B0">
      <w:pPr>
        <w:pStyle w:val="berschrift1"/>
      </w:pPr>
      <w:bookmarkStart w:id="0" w:name="scroll-bookmark-2"/>
      <w:r>
        <w:t>Was sind die Symptome der ASP?</w:t>
      </w:r>
      <w:bookmarkEnd w:id="0"/>
    </w:p>
    <w:p w:rsidR="00C142E9" w:rsidRDefault="005002B0">
      <w:r>
        <w:t xml:space="preserve">Bei europäischem </w:t>
      </w:r>
      <w:r>
        <w:t>Schwarzwild führt die Infektion zu sehr schweren, aber unspezifischen Allgemeinsymptomen wie Fieber, Schwäche, Fressunlust, Bewegungsstörungen und Atemproblemen. Durchfall und Blutungsneigung (Nasenbluten, blutiger Durchfall, Hautblutungen) können ebenfall</w:t>
      </w:r>
      <w:r>
        <w:t>s auftreten. Erkrankte Tiere zeigen mitunter eine verringerte Fluchtbereitschaft („Liegenbleiben in der Suhle“) oder andere Auffälligkeiten wie Bewegungsunlust und Desorientiertheit. Die Erkrankung betrifft alle Altersklassen und Geschlechter gleichermaßen</w:t>
      </w:r>
      <w:r>
        <w:t xml:space="preserve"> und führt in nahezu allen Fällen zum Tod des Tieres etwa innerhalb einer Woche. Beim Aufbrechen der Stücke sollte auf vergrößerte, „blutige“ Lymphknoten, eine vergrößerte Milz und feine, punkt- oder flächenförmige Blutungen in den Organen, der Haut oder U</w:t>
      </w:r>
      <w:r>
        <w:t>nterhaut geachtet werden. Die Lunge und die Atemwege sind häufig mit Schaum gefüllt. Das Fehlen solcher Auffälligkeiten schließt nicht aus, dass es sich dennoch um ASP handelt. In Schweinebeständen in Afrika überleben Tiere häufig eine Infektion.</w:t>
      </w:r>
    </w:p>
    <w:p w:rsidR="00C142E9" w:rsidRDefault="005002B0">
      <w:pPr>
        <w:pStyle w:val="berschrift1"/>
      </w:pPr>
      <w:bookmarkStart w:id="1" w:name="scroll-bookmark-3"/>
      <w:r>
        <w:t>Wie viel</w:t>
      </w:r>
      <w:r>
        <w:t>e Wildschweine gibt es in Deutschland?</w:t>
      </w:r>
      <w:bookmarkEnd w:id="1"/>
    </w:p>
    <w:p w:rsidR="00C142E9" w:rsidRDefault="005002B0">
      <w:r>
        <w:t>Derzeit gibt es noch keine wissenschaftliche Methode, um Wildschweine zu zählen. Lediglich grobe Schätzungen sind möglich. Ausgehend von der durchschnittlichen jährlichen Reproduktionsrate von 230 Prozent (Tierärztlic</w:t>
      </w:r>
      <w:r>
        <w:t>he Hochschule Hannover) und der DJV-Streckenstatistik (2016/17: knapp 600.000 Wildschweine) liegt der  Frühjahrsbestand bei etwa 300.000 Tiere. Diese Schätzung basiert auf der Annahme, dass Jäger nahezu den gesamten Nachwuchs abschöpfen. Bezogen auf den He</w:t>
      </w:r>
      <w:r>
        <w:t>rbstbestand erlegen Deutschlands Jäger also bereits jährlich zwei Drittel der Schweine.</w:t>
      </w:r>
    </w:p>
    <w:p w:rsidR="00C142E9" w:rsidRDefault="005002B0">
      <w:pPr>
        <w:pStyle w:val="berschrift1"/>
      </w:pPr>
      <w:bookmarkStart w:id="2" w:name="scroll-bookmark-4"/>
      <w:r>
        <w:t>Wie ist die ASP übertragbar?</w:t>
      </w:r>
      <w:bookmarkEnd w:id="2"/>
    </w:p>
    <w:p w:rsidR="00C6543C" w:rsidRDefault="005002B0">
      <w:r w:rsidRPr="00ED2DEA">
        <w:t xml:space="preserve">Die Erkrankung kann direkt von Tier zu Tier oder indirekt über kontaminierte Gegenstände übertragen werden. Unter ungünstigen Bedingungen </w:t>
      </w:r>
      <w:r w:rsidRPr="00ED2DEA">
        <w:t>kann ein unachtsam entsorgtes Wurstbrot ausreichen, um die Seuche einzuschleppen und auch in Deutschland Ausbrüche zu provozieren. Besonders effizient ist die Übertragung über Körperflüssigkeiten, besonders Schweiß (Blut). Kleinste Tropfen reichen für eine</w:t>
      </w:r>
      <w:r w:rsidRPr="00ED2DEA">
        <w:t xml:space="preserve"> Infektion.</w:t>
      </w:r>
    </w:p>
    <w:p w:rsidR="00C6543C" w:rsidRDefault="005002B0">
      <w:pPr>
        <w:pStyle w:val="berschrift1"/>
      </w:pPr>
      <w:bookmarkStart w:id="3" w:name="scroll-bookmark-5"/>
      <w:r>
        <w:t>Ist ASP ansteckend für den Menschen?</w:t>
      </w:r>
      <w:bookmarkEnd w:id="3"/>
    </w:p>
    <w:p w:rsidR="00C6543C" w:rsidRDefault="005002B0">
      <w:r>
        <w:t>Die Afrikanische Schweinepest zählt nicht zu den Zoonosen und kann dementsprechend nicht auf den Menschen übertragen werden. Haus- und Wildschweine sind gleichermaßen empfänglich für das Virus.</w:t>
      </w:r>
    </w:p>
    <w:p w:rsidR="00C6543C" w:rsidRDefault="005002B0">
      <w:pPr>
        <w:pStyle w:val="berschrift1"/>
      </w:pPr>
      <w:bookmarkStart w:id="4" w:name="scroll-bookmark-6"/>
      <w:r>
        <w:t>Kann infizi</w:t>
      </w:r>
      <w:r>
        <w:t>ertes Schweinefleisch gegessen werden?</w:t>
      </w:r>
      <w:bookmarkEnd w:id="4"/>
    </w:p>
    <w:p w:rsidR="00C6543C" w:rsidRDefault="005002B0">
      <w:r>
        <w:t>Infiziertes Schweinefleisch ist völlig ungefährlich für den Menschen und könnte gegessen werden. Um eine Verschleppungsgefahr allerdings komplett auszuschließen, sollten infizierte Schweine nicht zu Lebensmitteln ver</w:t>
      </w:r>
      <w:r>
        <w:t>arbeitet werden. Nachweislich wurde die Seuche beispielsweise von der Ukraine ins Baltikum über kontaminierte Rohwurst eingeschleppt.</w:t>
      </w:r>
    </w:p>
    <w:p w:rsidR="00C6543C" w:rsidRDefault="005002B0">
      <w:pPr>
        <w:pStyle w:val="berschrift1"/>
      </w:pPr>
      <w:bookmarkStart w:id="5" w:name="scroll-bookmark-7"/>
      <w:r>
        <w:lastRenderedPageBreak/>
        <w:t>Wie schnell breitet sich die ASP aus?</w:t>
      </w:r>
      <w:bookmarkEnd w:id="5"/>
    </w:p>
    <w:p w:rsidR="00C6543C" w:rsidRDefault="005002B0">
      <w:r>
        <w:t>Die natürliche Ausbreitung der ASP über Wildschweine geht langsam voran und beträgt</w:t>
      </w:r>
      <w:r>
        <w:t xml:space="preserve"> nach Angaben der Europäischen Lebensmittelsicherheitsbehörde EFSA mit höchstens </w:t>
      </w:r>
      <w:r>
        <w:rPr>
          <w:color w:val="000000"/>
        </w:rPr>
        <w:t>25 Kilometern pro Jahr.</w:t>
      </w:r>
      <w:r>
        <w:t xml:space="preserve"> Besorgnis erregend ist die Ausbreitungsgeschwindigkeit über den Menschen: Auf Transitstrecken kann sich das Virus mit 90 Kilometern pro Stunde fortbewe</w:t>
      </w:r>
      <w:r>
        <w:t xml:space="preserve">gen - beispielsweise im Schlamm in den Radkästen eines Lkw oder über kontaminierte Lebensmittel aus (Wild-)schweinfleisch (z.B. Salami, Räucherschinken). Das Virus kann selbst am Schuh mehrere Monate überleben. Biosicherheit an Parkplätzen, Bahnhöfen oder </w:t>
      </w:r>
      <w:r>
        <w:t>Grenzübergängen ist besonders wichtig, also beispielsweise verschlossene Abfallbehälter: Ein unachtsam entsorgtes Wurstbrötchen reicht, um die Seuche nach Deutschland zu bringen.</w:t>
      </w:r>
    </w:p>
    <w:p w:rsidR="00C6543C" w:rsidRDefault="005002B0">
      <w:pPr>
        <w:pStyle w:val="berschrift1"/>
      </w:pPr>
      <w:bookmarkStart w:id="6" w:name="scroll-bookmark-8"/>
      <w:r>
        <w:t>Welche Rolle spielen Wolf und andere Fleisch- und Aasfresser wie Fuchs bei d</w:t>
      </w:r>
      <w:r>
        <w:t>er Ausbreitung der ASP?</w:t>
      </w:r>
      <w:bookmarkEnd w:id="6"/>
    </w:p>
    <w:p w:rsidR="00C6543C" w:rsidRDefault="005002B0">
      <w:r>
        <w:t>Nach Auskunft des Freidrich-Loeffler-Instituts kann sich das Virus der Afrikanischen Schweinepest nur in Schweinen vermehren und wird daher nicht von Beutegreifern oder Aasfressern ausgeschieden, die es mit einem gerissenen Stück Sc</w:t>
      </w:r>
      <w:r>
        <w:t>hwarzwild oder an einem Kadaver aufgenommen haben. Alle Prädatoren, Greifvögel und Aasfresser könnten prinzipiell eine mechanische Vektorfunktion haben, wobei es keine Hinweise gibt, dass eine spezielle Art einen größeren Einfluss hat. Der Wolf nimmt keine</w:t>
      </w:r>
      <w:r>
        <w:t xml:space="preserve"> Nahrungsvorräte über lange Distanzen mit, wie es der Mensch tut. Eine direkte Verschleppung ist somit unwahrscheinlich. Es gibt keine Hinweise, dass sich das Virus längerfristig über kontaminierte Zähne oder Haare übertragen lässt. Insbesondere Aasfresser</w:t>
      </w:r>
      <w:r>
        <w:t>n kommt unter Umständen sogar eine positive Rolle bei der Beseitigung von Kadavern zu.</w:t>
      </w:r>
    </w:p>
    <w:p w:rsidR="00C6543C" w:rsidRDefault="005002B0">
      <w:pPr>
        <w:pStyle w:val="berschrift1"/>
      </w:pPr>
      <w:bookmarkStart w:id="7" w:name="scroll-bookmark-9"/>
      <w:r>
        <w:t>Die Schweinepest steht vor der Tür. Was muss jetzt getan werden?</w:t>
      </w:r>
      <w:bookmarkEnd w:id="7"/>
    </w:p>
    <w:p w:rsidR="00C6543C" w:rsidRDefault="005002B0">
      <w:r>
        <w:t>Der Fokus muss auf Maßnahmen der Prävention liegen. Dazu gehört es, Wildschweine mit allen legalen Mitt</w:t>
      </w:r>
      <w:r>
        <w:t xml:space="preserve">eln zu bejagen, vornehmlich junge Bachen. Ziel ist es, die Bestandsdichte und den Zuwachs weiter zu reduzieren. Ein weiterer Fokus muss auf der Biosicherheit liegen: Entlang von Transitstrecken sind verschlossene Abfallbehältnisse wichtig, damit Wildtiere </w:t>
      </w:r>
      <w:r>
        <w:t>infizierte Fleisch- und Wurstreste nicht verschleppen können. Ein dritter Fokus muss auf Früherkennung liegen: Verdächtige Wildschwein-Kadaver müssen vor Ort liegen bleiben und der zuständige Amtstierarzt muss umgehend informiert werden. Ein Abtransport de</w:t>
      </w:r>
      <w:r>
        <w:t>s Kadavers ist wegen der Verschleppungsgefahr nur in einem dichten Behälter zulässig.</w:t>
      </w:r>
    </w:p>
    <w:p w:rsidR="00C6543C" w:rsidRDefault="005002B0">
      <w:pPr>
        <w:pStyle w:val="berschrift1"/>
      </w:pPr>
      <w:bookmarkStart w:id="8" w:name="scroll-bookmark-10"/>
      <w:r>
        <w:t>Wie stehen Jäger zum Wegfall von  Beschränkungen bei der Wildschweinjagd?</w:t>
      </w:r>
      <w:bookmarkEnd w:id="8"/>
    </w:p>
    <w:p w:rsidR="00C6543C" w:rsidRDefault="005002B0">
      <w:r>
        <w:t>Eine Aufhebung von Schonzeiten sehen wir unkritisch. In der jetzigen Phase der Prävention ist a</w:t>
      </w:r>
      <w:r>
        <w:t>llerdings der Elterntierschutz nicht verhandelbar: Eine Bache mit abhängigen Frischlingen darf nicht erlegt werden. Es macht Sinn, verstärkt junge weibliche Wildschweine zu bejagen. Die bis 2-jährigen Tiere tragen maßgeblich zur Fortpflanzung bei: 7 von 10</w:t>
      </w:r>
      <w:r>
        <w:t xml:space="preserve"> Frischlingen werden von jungen Bachen geboren.</w:t>
      </w:r>
    </w:p>
    <w:p w:rsidR="00C6543C" w:rsidRDefault="005002B0">
      <w:pPr>
        <w:pStyle w:val="berschrift1"/>
      </w:pPr>
      <w:bookmarkStart w:id="9" w:name="scroll-bookmark-11"/>
      <w:r>
        <w:lastRenderedPageBreak/>
        <w:t>Was fordern die Jäger, um besser jagen zu können?</w:t>
      </w:r>
      <w:bookmarkEnd w:id="9"/>
    </w:p>
    <w:p w:rsidR="00C6543C" w:rsidRDefault="005002B0">
      <w:r>
        <w:t>Es gibt verschiedene Maßnahmen, die eine Bejagung von Wildschweinen erleichtern und dringend umgesetzt werden sollten:</w:t>
      </w:r>
    </w:p>
    <w:p w:rsidR="00C6543C" w:rsidRDefault="005002B0">
      <w:pPr>
        <w:numPr>
          <w:ilvl w:val="0"/>
          <w:numId w:val="3"/>
        </w:numPr>
      </w:pPr>
      <w:r>
        <w:t>Anlegen von Bejagungsschneisen im Frühj</w:t>
      </w:r>
      <w:r>
        <w:t>ahr - in allen Feldkulturen, z.B. Raps, Mais, Weizen</w:t>
      </w:r>
    </w:p>
    <w:p w:rsidR="00C6543C" w:rsidRDefault="005002B0">
      <w:pPr>
        <w:numPr>
          <w:ilvl w:val="0"/>
          <w:numId w:val="3"/>
        </w:numPr>
      </w:pPr>
      <w:r>
        <w:t>Aufheben von Jagdverboten in Naturschutzgebieten, insbesondere in Schilfgebieten und Bruchwäldern. Dort halten sich Wildschweine bevorzugt auf.</w:t>
      </w:r>
    </w:p>
    <w:p w:rsidR="00C6543C" w:rsidRDefault="005002B0">
      <w:pPr>
        <w:numPr>
          <w:ilvl w:val="0"/>
          <w:numId w:val="3"/>
        </w:numPr>
      </w:pPr>
      <w:r>
        <w:t>Aufheben von Jagdruhezeiten</w:t>
      </w:r>
    </w:p>
    <w:p w:rsidR="00C6543C" w:rsidRDefault="005002B0">
      <w:pPr>
        <w:numPr>
          <w:ilvl w:val="0"/>
          <w:numId w:val="3"/>
        </w:numPr>
      </w:pPr>
      <w:r>
        <w:t>Aufwandsenschädigung für Monito</w:t>
      </w:r>
      <w:r>
        <w:t>ring und Beprobung (Trichinen, Blut- und Tupferproben) sowie ausreichend Probeabgabestellen</w:t>
      </w:r>
    </w:p>
    <w:p w:rsidR="00C6543C" w:rsidRDefault="005002B0">
      <w:pPr>
        <w:numPr>
          <w:ilvl w:val="0"/>
          <w:numId w:val="3"/>
        </w:numPr>
      </w:pPr>
      <w:r>
        <w:t>Unterstützung bei der Verkehrssicherung für Bewegungsjagden (weniger Bürokratie, Kostenübernhame und Personal)</w:t>
      </w:r>
    </w:p>
    <w:p w:rsidR="00C6543C" w:rsidRDefault="005002B0">
      <w:pPr>
        <w:pStyle w:val="berschrift1"/>
      </w:pPr>
      <w:bookmarkStart w:id="10" w:name="scroll-bookmark-12"/>
      <w:r>
        <w:t xml:space="preserve">Was ist von der angeblichen Forderung des </w:t>
      </w:r>
      <w:r>
        <w:t>Bauernverbandes zu halten, 70 Prozent der Wildschweine abzuschießen?</w:t>
      </w:r>
      <w:bookmarkEnd w:id="10"/>
    </w:p>
    <w:p w:rsidR="00C6543C" w:rsidRDefault="005002B0">
      <w:r>
        <w:t xml:space="preserve">Die Forderung, den Bestand um 70 Prozent zu reduzieren, ist haltlos, weil keine Bezugsgröße genannt wird – weder räumlich noch zeitlich. Die Zahl beruht ausschließlich auf mathematischen </w:t>
      </w:r>
      <w:r>
        <w:t xml:space="preserve">Modellen der europäischen Lebensmittelsicherheitsbehörde EFSA für den Fall eines Ausbruchs der Schweinepest und hat nichts mit der praktischen Umsetzbarkeit zu tun. Bezugsgröße ist hier lediglich das klar umgrenzte Seuchengebiet. Maßnahmen wie Aushungern, </w:t>
      </w:r>
      <w:r>
        <w:t>Vergiften oder Schießen sind nur einige, die in Frage kommen, um dieses Ziel im Ernstfall möglichst zu erreichen (EFSA AHAW Panel, Scientific opinion on African swine fever. EFSA Journal 2015:13(7):4136, 92pp).</w:t>
      </w:r>
    </w:p>
    <w:p w:rsidR="00C6543C" w:rsidRDefault="005002B0">
      <w:pPr>
        <w:pStyle w:val="berschrift1"/>
      </w:pPr>
      <w:bookmarkStart w:id="11" w:name="scroll-bookmark-13"/>
      <w:bookmarkStart w:id="12" w:name="_GoBack"/>
      <w:bookmarkEnd w:id="12"/>
      <w:r>
        <w:t>Welche Maßnahmen müssen bei einem ASP-Ausbru</w:t>
      </w:r>
      <w:r>
        <w:t>ch eingeleitet werden?</w:t>
      </w:r>
      <w:bookmarkEnd w:id="11"/>
    </w:p>
    <w:p w:rsidR="00C6543C" w:rsidRDefault="005002B0">
      <w:r>
        <w:t>Es gibt kein Allheilmittel gegen die Afrikanische Schweinepest. Ganz besonders wichtig ist die Früherkennung: Wenn ein Ausbruch umgehend gemeldet wird, können Maßnahmen eingeleitet werden, um die Verbreitung sofort zu unterbinden. Ge</w:t>
      </w:r>
      <w:r>
        <w:t>meinsam mit dem Friedrich-Loeffler-Institut hat der DJV einen Maßnahmenkatalog nach dem Werkzeugkasten-Prinzip entwickelt: Je nach Jahreszeit, Topographie oder Vegetation müssen unterschiedlichste Maßnahmen kombiniert werden. Der Maßnahmenkatalog hat Empfe</w:t>
      </w:r>
      <w:r>
        <w:t>hlungscharakter, die Krisenstäbe vor Ort müssen im Seuchenfall dann die besten Maßnahmen kombinieren. Am besten ist es, wenn die Verantwortlichen bereits jetzt mögliche Szenarien durchdenken.</w:t>
      </w:r>
    </w:p>
    <w:p w:rsidR="00C6543C" w:rsidRDefault="005002B0">
      <w:r>
        <w:t xml:space="preserve">Der ASP-Maßnahmenkatalog von FLI und DJV: </w:t>
      </w:r>
      <w:hyperlink r:id="rId8" w:history="1">
        <w:r>
          <w:rPr>
            <w:rStyle w:val="Hyperlink"/>
          </w:rPr>
          <w:t>http://www.jagdverband.de/sites/default/files/2017-10%20DJV-FLI_2_Massnahmenkatalog-ASP.pdf</w:t>
        </w:r>
      </w:hyperlink>
    </w:p>
    <w:p w:rsidR="00C6543C" w:rsidRDefault="00C6543C"/>
    <w:p w:rsidR="00C6543C" w:rsidRDefault="005002B0">
      <w:pPr>
        <w:pStyle w:val="berschrift1"/>
      </w:pPr>
      <w:bookmarkStart w:id="13" w:name="scroll-bookmark-14"/>
      <w:r>
        <w:lastRenderedPageBreak/>
        <w:t>Wie stehen Sie zum Einsatz von Nachtzielgeräten oder Sauenfängen?</w:t>
      </w:r>
      <w:bookmarkEnd w:id="13"/>
    </w:p>
    <w:p w:rsidR="00C6543C" w:rsidRDefault="005002B0">
      <w:r>
        <w:t>Der Einsatz von</w:t>
      </w:r>
      <w:r>
        <w:t xml:space="preserve"> Nachtzielgeräten ist waffenrechtlich verboten. Ob mit deren Einsatz ein langfristiger Jagderfolg zu erreichen ist, bleibt fraglich. Der Einsatz von Sauenfängen ist unter Tierschutzaspekten und Effektivität kritisch zu hinterfragen. Abgesehen von wenigen A</w:t>
      </w:r>
      <w:r>
        <w:t>usnahmeregelungen ist der Einsatz von Saufängen in Deutschland verboten.</w:t>
      </w:r>
    </w:p>
    <w:p w:rsidR="00C6543C" w:rsidRDefault="005002B0">
      <w:pPr>
        <w:pStyle w:val="berschrift1"/>
      </w:pPr>
      <w:bookmarkStart w:id="14" w:name="scroll-bookmark-15"/>
      <w:r>
        <w:t>Was sollten Jäger in Hinblick auf Jagdreisen beachten?</w:t>
      </w:r>
      <w:bookmarkEnd w:id="14"/>
    </w:p>
    <w:p w:rsidR="00C6543C" w:rsidRDefault="005002B0">
      <w:r>
        <w:t xml:space="preserve">Jäger sollten Regionen, die von der ASP betroffen sind, unbedingt meiden. In Osteuropa, insbesondere in Polen, Tschechien, im </w:t>
      </w:r>
      <w:r>
        <w:t>Baltikum, der Ukraine, Weißrussland sowie Russland gibt es regionale Seuchenherde. Jäger müssen auf Biosicherheit achten: Kleidung, Schuhe, Fahrzeuge und Jagdausrüstung müssen gründlich gereinigt oder desinfiziert werden.</w:t>
      </w:r>
    </w:p>
    <w:p w:rsidR="00C6543C" w:rsidRDefault="00C6543C"/>
    <w:p w:rsidR="00C6543C" w:rsidRDefault="00C6543C"/>
    <w:p w:rsidR="00C6543C" w:rsidRDefault="00C6543C"/>
    <w:sectPr w:rsidR="00C6543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B0" w:rsidRDefault="005002B0">
      <w:pPr>
        <w:spacing w:after="0" w:line="240" w:lineRule="auto"/>
      </w:pPr>
      <w:r>
        <w:separator/>
      </w:r>
    </w:p>
  </w:endnote>
  <w:endnote w:type="continuationSeparator" w:id="0">
    <w:p w:rsidR="005002B0" w:rsidRDefault="0050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64630"/>
      <w:docPartObj>
        <w:docPartGallery w:val="Page Numbers (Bottom of Page)"/>
        <w:docPartUnique/>
      </w:docPartObj>
    </w:sdtPr>
    <w:sdtContent>
      <w:p w:rsidR="00ED2DEA" w:rsidRDefault="00ED2DEA">
        <w:pPr>
          <w:pStyle w:val="Fuzeile"/>
          <w:jc w:val="right"/>
        </w:pPr>
        <w:r>
          <w:fldChar w:fldCharType="begin"/>
        </w:r>
        <w:r>
          <w:instrText>PAGE   \* MERGEFORMAT</w:instrText>
        </w:r>
        <w:r>
          <w:fldChar w:fldCharType="separate"/>
        </w:r>
        <w:r>
          <w:rPr>
            <w:noProof/>
          </w:rPr>
          <w:t>4</w:t>
        </w:r>
        <w:r>
          <w:fldChar w:fldCharType="end"/>
        </w:r>
      </w:p>
    </w:sdtContent>
  </w:sdt>
  <w:p w:rsidR="00765610" w:rsidRPr="00765610" w:rsidRDefault="005002B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B0" w:rsidRDefault="005002B0">
      <w:pPr>
        <w:spacing w:after="0" w:line="240" w:lineRule="auto"/>
      </w:pPr>
      <w:r>
        <w:separator/>
      </w:r>
    </w:p>
  </w:footnote>
  <w:footnote w:type="continuationSeparator" w:id="0">
    <w:p w:rsidR="005002B0" w:rsidRDefault="0050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1242"/>
      <w:gridCol w:w="7970"/>
    </w:tblGrid>
    <w:tr w:rsidR="00C6543C" w:rsidTr="00B37401">
      <w:tc>
        <w:tcPr>
          <w:tcW w:w="1242" w:type="dxa"/>
          <w:tcBorders>
            <w:top w:val="nil"/>
            <w:left w:val="nil"/>
            <w:right w:val="nil"/>
          </w:tcBorders>
        </w:tcPr>
        <w:p w:rsidR="00765610" w:rsidRDefault="005002B0" w:rsidP="00B37401">
          <w:pPr>
            <w:pStyle w:val="Kopfzeile"/>
            <w:rPr>
              <w:rFonts w:cs="Arial"/>
            </w:rPr>
          </w:pPr>
          <w:r>
            <w:rPr>
              <w:noProof/>
              <w:lang w:eastAsia="de-DE"/>
            </w:rPr>
            <w:drawing>
              <wp:inline distT="0" distB="0" distL="0" distR="0">
                <wp:extent cx="647700" cy="647700"/>
                <wp:effectExtent l="0" t="0" r="0" b="0"/>
                <wp:docPr id="3" name="Grafik 3" descr="C:\Users\t.bricke\Desktop\Logo D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icke\Desktop\Logo DJV.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359" cy="646359"/>
                        </a:xfrm>
                        <a:prstGeom prst="rect">
                          <a:avLst/>
                        </a:prstGeom>
                        <a:noFill/>
                        <a:ln>
                          <a:noFill/>
                        </a:ln>
                      </pic:spPr>
                    </pic:pic>
                  </a:graphicData>
                </a:graphic>
              </wp:inline>
            </w:drawing>
          </w:r>
        </w:p>
      </w:tc>
      <w:tc>
        <w:tcPr>
          <w:tcW w:w="7970" w:type="dxa"/>
          <w:tcBorders>
            <w:top w:val="nil"/>
            <w:left w:val="nil"/>
            <w:right w:val="nil"/>
          </w:tcBorders>
        </w:tcPr>
        <w:p w:rsidR="00765610" w:rsidRPr="00C65C18" w:rsidRDefault="00ED2DEA" w:rsidP="00765610">
          <w:pPr>
            <w:pStyle w:val="berschrift2"/>
            <w:outlineLvl w:val="1"/>
            <w:rPr>
              <w:lang w:val="en-US"/>
            </w:rPr>
          </w:pPr>
          <w:r>
            <w:rPr>
              <w:lang w:val="en-US"/>
            </w:rPr>
            <w:t>Afrikanische Schweinepest</w:t>
          </w:r>
        </w:p>
        <w:p w:rsidR="00765610" w:rsidRDefault="00ED2DEA" w:rsidP="00B37401">
          <w:pPr>
            <w:pStyle w:val="KeinLeerraum"/>
            <w:rPr>
              <w:lang w:val="en-US"/>
            </w:rPr>
          </w:pPr>
          <w:r>
            <w:rPr>
              <w:lang w:val="en-US"/>
            </w:rPr>
            <w:t>Fragen und Antworten</w:t>
          </w:r>
        </w:p>
        <w:p w:rsidR="00765610" w:rsidRPr="00D70E78" w:rsidRDefault="00ED2DEA" w:rsidP="00B37401">
          <w:pPr>
            <w:pStyle w:val="KeinLeerraum"/>
            <w:rPr>
              <w:lang w:val="en-US"/>
            </w:rPr>
          </w:pPr>
          <w:r>
            <w:rPr>
              <w:lang w:val="en-US"/>
            </w:rPr>
            <w:t>Stand: 18. Januar 2018</w:t>
          </w:r>
        </w:p>
      </w:tc>
    </w:tr>
  </w:tbl>
  <w:p w:rsidR="00765610" w:rsidRDefault="005002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14AB1C2">
      <w:start w:val="1"/>
      <w:numFmt w:val="bullet"/>
      <w:lvlText w:val=""/>
      <w:lvlJc w:val="left"/>
      <w:pPr>
        <w:tabs>
          <w:tab w:val="num" w:pos="360"/>
        </w:tabs>
        <w:ind w:left="360" w:hanging="360"/>
      </w:pPr>
      <w:rPr>
        <w:rFonts w:ascii="Symbol" w:hAnsi="Symbol"/>
      </w:rPr>
    </w:lvl>
    <w:lvl w:ilvl="1" w:tplc="D68A234E">
      <w:start w:val="1"/>
      <w:numFmt w:val="bullet"/>
      <w:lvlText w:val="o"/>
      <w:lvlJc w:val="left"/>
      <w:pPr>
        <w:tabs>
          <w:tab w:val="num" w:pos="1080"/>
        </w:tabs>
        <w:ind w:left="1080" w:hanging="360"/>
      </w:pPr>
      <w:rPr>
        <w:rFonts w:ascii="Courier New" w:hAnsi="Courier New"/>
      </w:rPr>
    </w:lvl>
    <w:lvl w:ilvl="2" w:tplc="E506D9FA">
      <w:start w:val="1"/>
      <w:numFmt w:val="bullet"/>
      <w:lvlText w:val=""/>
      <w:lvlJc w:val="left"/>
      <w:pPr>
        <w:tabs>
          <w:tab w:val="num" w:pos="1800"/>
        </w:tabs>
        <w:ind w:left="1800" w:hanging="360"/>
      </w:pPr>
      <w:rPr>
        <w:rFonts w:ascii="Wingdings" w:hAnsi="Wingdings"/>
      </w:rPr>
    </w:lvl>
    <w:lvl w:ilvl="3" w:tplc="00B69DB6">
      <w:start w:val="1"/>
      <w:numFmt w:val="bullet"/>
      <w:lvlText w:val=""/>
      <w:lvlJc w:val="left"/>
      <w:pPr>
        <w:tabs>
          <w:tab w:val="num" w:pos="2520"/>
        </w:tabs>
        <w:ind w:left="2520" w:hanging="360"/>
      </w:pPr>
      <w:rPr>
        <w:rFonts w:ascii="Symbol" w:hAnsi="Symbol"/>
      </w:rPr>
    </w:lvl>
    <w:lvl w:ilvl="4" w:tplc="B98260A8">
      <w:start w:val="1"/>
      <w:numFmt w:val="bullet"/>
      <w:lvlText w:val="o"/>
      <w:lvlJc w:val="left"/>
      <w:pPr>
        <w:tabs>
          <w:tab w:val="num" w:pos="3240"/>
        </w:tabs>
        <w:ind w:left="3240" w:hanging="360"/>
      </w:pPr>
      <w:rPr>
        <w:rFonts w:ascii="Courier New" w:hAnsi="Courier New"/>
      </w:rPr>
    </w:lvl>
    <w:lvl w:ilvl="5" w:tplc="8C700738">
      <w:start w:val="1"/>
      <w:numFmt w:val="bullet"/>
      <w:lvlText w:val=""/>
      <w:lvlJc w:val="left"/>
      <w:pPr>
        <w:tabs>
          <w:tab w:val="num" w:pos="3960"/>
        </w:tabs>
        <w:ind w:left="3960" w:hanging="360"/>
      </w:pPr>
      <w:rPr>
        <w:rFonts w:ascii="Wingdings" w:hAnsi="Wingdings"/>
      </w:rPr>
    </w:lvl>
    <w:lvl w:ilvl="6" w:tplc="49D4D15A">
      <w:start w:val="1"/>
      <w:numFmt w:val="bullet"/>
      <w:lvlText w:val=""/>
      <w:lvlJc w:val="left"/>
      <w:pPr>
        <w:tabs>
          <w:tab w:val="num" w:pos="4680"/>
        </w:tabs>
        <w:ind w:left="4680" w:hanging="360"/>
      </w:pPr>
      <w:rPr>
        <w:rFonts w:ascii="Symbol" w:hAnsi="Symbol"/>
      </w:rPr>
    </w:lvl>
    <w:lvl w:ilvl="7" w:tplc="0F0CBF2C">
      <w:start w:val="1"/>
      <w:numFmt w:val="bullet"/>
      <w:lvlText w:val="o"/>
      <w:lvlJc w:val="left"/>
      <w:pPr>
        <w:tabs>
          <w:tab w:val="num" w:pos="5400"/>
        </w:tabs>
        <w:ind w:left="5400" w:hanging="360"/>
      </w:pPr>
      <w:rPr>
        <w:rFonts w:ascii="Courier New" w:hAnsi="Courier New"/>
      </w:rPr>
    </w:lvl>
    <w:lvl w:ilvl="8" w:tplc="89CAA82A">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hybridMultilevel"/>
    <w:tmpl w:val="00000002"/>
    <w:lvl w:ilvl="0" w:tplc="505E7762">
      <w:start w:val="1"/>
      <w:numFmt w:val="bullet"/>
      <w:lvlText w:val=""/>
      <w:lvlJc w:val="left"/>
      <w:pPr>
        <w:tabs>
          <w:tab w:val="num" w:pos="360"/>
        </w:tabs>
        <w:ind w:left="360" w:hanging="360"/>
      </w:pPr>
      <w:rPr>
        <w:rFonts w:ascii="Symbol" w:hAnsi="Symbol"/>
      </w:rPr>
    </w:lvl>
    <w:lvl w:ilvl="1" w:tplc="628E5ACA">
      <w:start w:val="1"/>
      <w:numFmt w:val="bullet"/>
      <w:lvlText w:val="o"/>
      <w:lvlJc w:val="left"/>
      <w:pPr>
        <w:tabs>
          <w:tab w:val="num" w:pos="1080"/>
        </w:tabs>
        <w:ind w:left="1080" w:hanging="360"/>
      </w:pPr>
      <w:rPr>
        <w:rFonts w:ascii="Courier New" w:hAnsi="Courier New"/>
      </w:rPr>
    </w:lvl>
    <w:lvl w:ilvl="2" w:tplc="758048DE">
      <w:start w:val="1"/>
      <w:numFmt w:val="bullet"/>
      <w:lvlText w:val=""/>
      <w:lvlJc w:val="left"/>
      <w:pPr>
        <w:tabs>
          <w:tab w:val="num" w:pos="1800"/>
        </w:tabs>
        <w:ind w:left="1800" w:hanging="360"/>
      </w:pPr>
      <w:rPr>
        <w:rFonts w:ascii="Wingdings" w:hAnsi="Wingdings"/>
      </w:rPr>
    </w:lvl>
    <w:lvl w:ilvl="3" w:tplc="FB581B32">
      <w:start w:val="1"/>
      <w:numFmt w:val="bullet"/>
      <w:lvlText w:val=""/>
      <w:lvlJc w:val="left"/>
      <w:pPr>
        <w:tabs>
          <w:tab w:val="num" w:pos="2520"/>
        </w:tabs>
        <w:ind w:left="2520" w:hanging="360"/>
      </w:pPr>
      <w:rPr>
        <w:rFonts w:ascii="Symbol" w:hAnsi="Symbol"/>
      </w:rPr>
    </w:lvl>
    <w:lvl w:ilvl="4" w:tplc="AE208EE0">
      <w:start w:val="1"/>
      <w:numFmt w:val="bullet"/>
      <w:lvlText w:val="o"/>
      <w:lvlJc w:val="left"/>
      <w:pPr>
        <w:tabs>
          <w:tab w:val="num" w:pos="3240"/>
        </w:tabs>
        <w:ind w:left="3240" w:hanging="360"/>
      </w:pPr>
      <w:rPr>
        <w:rFonts w:ascii="Courier New" w:hAnsi="Courier New"/>
      </w:rPr>
    </w:lvl>
    <w:lvl w:ilvl="5" w:tplc="C46E2E7C">
      <w:start w:val="1"/>
      <w:numFmt w:val="bullet"/>
      <w:lvlText w:val=""/>
      <w:lvlJc w:val="left"/>
      <w:pPr>
        <w:tabs>
          <w:tab w:val="num" w:pos="3960"/>
        </w:tabs>
        <w:ind w:left="3960" w:hanging="360"/>
      </w:pPr>
      <w:rPr>
        <w:rFonts w:ascii="Wingdings" w:hAnsi="Wingdings"/>
      </w:rPr>
    </w:lvl>
    <w:lvl w:ilvl="6" w:tplc="D306435A">
      <w:start w:val="1"/>
      <w:numFmt w:val="bullet"/>
      <w:lvlText w:val=""/>
      <w:lvlJc w:val="left"/>
      <w:pPr>
        <w:tabs>
          <w:tab w:val="num" w:pos="4680"/>
        </w:tabs>
        <w:ind w:left="4680" w:hanging="360"/>
      </w:pPr>
      <w:rPr>
        <w:rFonts w:ascii="Symbol" w:hAnsi="Symbol"/>
      </w:rPr>
    </w:lvl>
    <w:lvl w:ilvl="7" w:tplc="20E2D8D0">
      <w:start w:val="1"/>
      <w:numFmt w:val="bullet"/>
      <w:lvlText w:val="o"/>
      <w:lvlJc w:val="left"/>
      <w:pPr>
        <w:tabs>
          <w:tab w:val="num" w:pos="5400"/>
        </w:tabs>
        <w:ind w:left="5400" w:hanging="360"/>
      </w:pPr>
      <w:rPr>
        <w:rFonts w:ascii="Courier New" w:hAnsi="Courier New"/>
      </w:rPr>
    </w:lvl>
    <w:lvl w:ilvl="8" w:tplc="377E5516">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hybridMultilevel"/>
    <w:tmpl w:val="00000003"/>
    <w:lvl w:ilvl="0" w:tplc="E6086C86">
      <w:start w:val="1"/>
      <w:numFmt w:val="bullet"/>
      <w:lvlText w:val=""/>
      <w:lvlJc w:val="left"/>
      <w:pPr>
        <w:tabs>
          <w:tab w:val="num" w:pos="360"/>
        </w:tabs>
        <w:ind w:left="360" w:hanging="360"/>
      </w:pPr>
      <w:rPr>
        <w:rFonts w:ascii="Symbol" w:hAnsi="Symbol"/>
      </w:rPr>
    </w:lvl>
    <w:lvl w:ilvl="1" w:tplc="DD5E1B06">
      <w:start w:val="1"/>
      <w:numFmt w:val="bullet"/>
      <w:lvlText w:val="o"/>
      <w:lvlJc w:val="left"/>
      <w:pPr>
        <w:tabs>
          <w:tab w:val="num" w:pos="1080"/>
        </w:tabs>
        <w:ind w:left="1080" w:hanging="360"/>
      </w:pPr>
      <w:rPr>
        <w:rFonts w:ascii="Courier New" w:hAnsi="Courier New"/>
      </w:rPr>
    </w:lvl>
    <w:lvl w:ilvl="2" w:tplc="09C640B4">
      <w:start w:val="1"/>
      <w:numFmt w:val="bullet"/>
      <w:lvlText w:val=""/>
      <w:lvlJc w:val="left"/>
      <w:pPr>
        <w:tabs>
          <w:tab w:val="num" w:pos="1800"/>
        </w:tabs>
        <w:ind w:left="1800" w:hanging="360"/>
      </w:pPr>
      <w:rPr>
        <w:rFonts w:ascii="Wingdings" w:hAnsi="Wingdings"/>
      </w:rPr>
    </w:lvl>
    <w:lvl w:ilvl="3" w:tplc="BA54CC9A">
      <w:start w:val="1"/>
      <w:numFmt w:val="bullet"/>
      <w:lvlText w:val=""/>
      <w:lvlJc w:val="left"/>
      <w:pPr>
        <w:tabs>
          <w:tab w:val="num" w:pos="2520"/>
        </w:tabs>
        <w:ind w:left="2520" w:hanging="360"/>
      </w:pPr>
      <w:rPr>
        <w:rFonts w:ascii="Symbol" w:hAnsi="Symbol"/>
      </w:rPr>
    </w:lvl>
    <w:lvl w:ilvl="4" w:tplc="B8DC578E">
      <w:start w:val="1"/>
      <w:numFmt w:val="bullet"/>
      <w:lvlText w:val="o"/>
      <w:lvlJc w:val="left"/>
      <w:pPr>
        <w:tabs>
          <w:tab w:val="num" w:pos="3240"/>
        </w:tabs>
        <w:ind w:left="3240" w:hanging="360"/>
      </w:pPr>
      <w:rPr>
        <w:rFonts w:ascii="Courier New" w:hAnsi="Courier New"/>
      </w:rPr>
    </w:lvl>
    <w:lvl w:ilvl="5" w:tplc="76ECA23A">
      <w:start w:val="1"/>
      <w:numFmt w:val="bullet"/>
      <w:lvlText w:val=""/>
      <w:lvlJc w:val="left"/>
      <w:pPr>
        <w:tabs>
          <w:tab w:val="num" w:pos="3960"/>
        </w:tabs>
        <w:ind w:left="3960" w:hanging="360"/>
      </w:pPr>
      <w:rPr>
        <w:rFonts w:ascii="Wingdings" w:hAnsi="Wingdings"/>
      </w:rPr>
    </w:lvl>
    <w:lvl w:ilvl="6" w:tplc="26562C2A">
      <w:start w:val="1"/>
      <w:numFmt w:val="bullet"/>
      <w:lvlText w:val=""/>
      <w:lvlJc w:val="left"/>
      <w:pPr>
        <w:tabs>
          <w:tab w:val="num" w:pos="4680"/>
        </w:tabs>
        <w:ind w:left="4680" w:hanging="360"/>
      </w:pPr>
      <w:rPr>
        <w:rFonts w:ascii="Symbol" w:hAnsi="Symbol"/>
      </w:rPr>
    </w:lvl>
    <w:lvl w:ilvl="7" w:tplc="AF52783E">
      <w:start w:val="1"/>
      <w:numFmt w:val="bullet"/>
      <w:lvlText w:val="o"/>
      <w:lvlJc w:val="left"/>
      <w:pPr>
        <w:tabs>
          <w:tab w:val="num" w:pos="5400"/>
        </w:tabs>
        <w:ind w:left="5400" w:hanging="360"/>
      </w:pPr>
      <w:rPr>
        <w:rFonts w:ascii="Courier New" w:hAnsi="Courier New"/>
      </w:rPr>
    </w:lvl>
    <w:lvl w:ilvl="8" w:tplc="59488AA8">
      <w:start w:val="1"/>
      <w:numFmt w:val="bullet"/>
      <w:lvlText w:val=""/>
      <w:lvlJc w:val="left"/>
      <w:pPr>
        <w:tabs>
          <w:tab w:val="num" w:pos="6120"/>
        </w:tabs>
        <w:ind w:left="612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C"/>
    <w:rsid w:val="005002B0"/>
    <w:rsid w:val="00C6543C"/>
    <w:rsid w:val="00ED2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4C5F8-5DD9-4CB8-9C9C-B946CCF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5610"/>
    <w:rPr>
      <w:rFonts w:ascii="Arial" w:hAnsi="Arial"/>
    </w:rPr>
  </w:style>
  <w:style w:type="paragraph" w:styleId="berschrift1">
    <w:name w:val="heading 1"/>
    <w:basedOn w:val="Standard"/>
    <w:next w:val="Standard"/>
    <w:link w:val="berschrift1Zchn"/>
    <w:uiPriority w:val="9"/>
    <w:qFormat/>
    <w:rsid w:val="00765610"/>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765610"/>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765610"/>
    <w:pPr>
      <w:keepNext/>
      <w:keepLines/>
      <w:spacing w:before="200" w:after="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5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5610"/>
  </w:style>
  <w:style w:type="paragraph" w:styleId="Fuzeile">
    <w:name w:val="footer"/>
    <w:basedOn w:val="Standard"/>
    <w:link w:val="FuzeileZchn"/>
    <w:uiPriority w:val="99"/>
    <w:unhideWhenUsed/>
    <w:rsid w:val="00765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5610"/>
  </w:style>
  <w:style w:type="paragraph" w:styleId="Sprechblasentext">
    <w:name w:val="Balloon Text"/>
    <w:basedOn w:val="Standard"/>
    <w:link w:val="SprechblasentextZchn"/>
    <w:uiPriority w:val="99"/>
    <w:semiHidden/>
    <w:unhideWhenUsed/>
    <w:rsid w:val="007656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610"/>
    <w:rPr>
      <w:rFonts w:ascii="Tahoma" w:hAnsi="Tahoma" w:cs="Tahoma"/>
      <w:sz w:val="16"/>
      <w:szCs w:val="16"/>
    </w:rPr>
  </w:style>
  <w:style w:type="paragraph" w:styleId="KeinLeerraum">
    <w:name w:val="No Spacing"/>
    <w:uiPriority w:val="1"/>
    <w:qFormat/>
    <w:rsid w:val="00765610"/>
    <w:pPr>
      <w:spacing w:after="0" w:line="240" w:lineRule="auto"/>
    </w:pPr>
    <w:rPr>
      <w:rFonts w:ascii="Arial" w:hAnsi="Arial" w:cstheme="majorBidi"/>
    </w:rPr>
  </w:style>
  <w:style w:type="table" w:styleId="Tabellenraster">
    <w:name w:val="Table Grid"/>
    <w:basedOn w:val="NormaleTabelle"/>
    <w:uiPriority w:val="59"/>
    <w:rsid w:val="00765610"/>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65610"/>
    <w:rPr>
      <w:rFonts w:ascii="Arial" w:eastAsiaTheme="majorEastAsia" w:hAnsi="Arial" w:cstheme="majorBidi"/>
      <w:b/>
      <w:bCs/>
      <w:sz w:val="26"/>
      <w:szCs w:val="26"/>
    </w:rPr>
  </w:style>
  <w:style w:type="character" w:customStyle="1" w:styleId="berschrift1Zchn">
    <w:name w:val="Überschrift 1 Zchn"/>
    <w:basedOn w:val="Absatz-Standardschriftart"/>
    <w:link w:val="berschrift1"/>
    <w:uiPriority w:val="9"/>
    <w:rsid w:val="00765610"/>
    <w:rPr>
      <w:rFonts w:ascii="Arial" w:eastAsiaTheme="majorEastAsia" w:hAnsi="Arial" w:cstheme="majorBidi"/>
      <w:b/>
      <w:bCs/>
      <w:color w:val="000000" w:themeColor="text1"/>
      <w:sz w:val="28"/>
      <w:szCs w:val="28"/>
    </w:rPr>
  </w:style>
  <w:style w:type="character" w:customStyle="1" w:styleId="berschrift3Zchn">
    <w:name w:val="Überschrift 3 Zchn"/>
    <w:basedOn w:val="Absatz-Standardschriftart"/>
    <w:link w:val="berschrift3"/>
    <w:uiPriority w:val="9"/>
    <w:semiHidden/>
    <w:rsid w:val="00765610"/>
    <w:rPr>
      <w:rFonts w:ascii="Arial" w:eastAsiaTheme="majorEastAsia" w:hAnsi="Arial" w:cstheme="majorBidi"/>
      <w:b/>
      <w:bCs/>
    </w:rPr>
  </w:style>
  <w:style w:type="paragraph" w:styleId="Titel">
    <w:name w:val="Title"/>
    <w:basedOn w:val="Standard"/>
    <w:next w:val="Standard"/>
    <w:link w:val="TitelZchn"/>
    <w:uiPriority w:val="10"/>
    <w:qFormat/>
    <w:rsid w:val="00765610"/>
    <w:pPr>
      <w:pBdr>
        <w:bottom w:val="single" w:sz="8" w:space="4" w:color="4F81BD" w:themeColor="accent1"/>
      </w:pBdr>
      <w:spacing w:after="300" w:line="240" w:lineRule="auto"/>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765610"/>
    <w:rPr>
      <w:rFonts w:ascii="Arial" w:eastAsiaTheme="majorEastAsia" w:hAnsi="Arial" w:cstheme="majorBidi"/>
      <w:spacing w:val="5"/>
      <w:kern w:val="28"/>
      <w:sz w:val="40"/>
      <w:szCs w:val="52"/>
    </w:rPr>
  </w:style>
  <w:style w:type="paragraph" w:styleId="Untertitel">
    <w:name w:val="Subtitle"/>
    <w:basedOn w:val="Standard"/>
    <w:next w:val="Standard"/>
    <w:link w:val="UntertitelZchn"/>
    <w:uiPriority w:val="11"/>
    <w:qFormat/>
    <w:rsid w:val="00765610"/>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765610"/>
    <w:rPr>
      <w:rFonts w:ascii="Arial" w:eastAsiaTheme="majorEastAsia" w:hAnsi="Arial" w:cstheme="majorBidi"/>
      <w:i/>
      <w:iCs/>
      <w:spacing w:val="15"/>
      <w:sz w:val="24"/>
      <w:szCs w:val="24"/>
    </w:rPr>
  </w:style>
  <w:style w:type="character" w:styleId="IntensiveHervorhebung">
    <w:name w:val="Intense Emphasis"/>
    <w:basedOn w:val="Absatz-Standardschriftart"/>
    <w:uiPriority w:val="21"/>
    <w:qFormat/>
    <w:rsid w:val="00765610"/>
    <w:rPr>
      <w:rFonts w:ascii="Arial" w:hAnsi="Arial"/>
      <w:b/>
      <w:bCs/>
      <w:i/>
      <w:iCs/>
      <w:color w:val="auto"/>
    </w:rPr>
  </w:style>
  <w:style w:type="table" w:customStyle="1" w:styleId="TableGrid0">
    <w:name w:val="Table Grid_0"/>
    <w:basedOn w:val="TableNormal0"/>
    <w:uiPriority w:val="59"/>
    <w:rsid w:val="00E868FB"/>
    <w:pPr>
      <w:spacing w:after="0"/>
    </w:pPr>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SectionColumn">
    <w:name w:val="Scroll Section Column"/>
    <w:basedOn w:val="TableNormal0"/>
    <w:uiPriority w:val="99"/>
    <w:rsid w:val="00E868FB"/>
    <w:pPr>
      <w:spacing w:after="0"/>
    </w:pPr>
    <w:tblPr/>
  </w:style>
  <w:style w:type="table" w:customStyle="1" w:styleId="ScrollTip">
    <w:name w:val="Scroll Tip"/>
    <w:basedOn w:val="TableNormal0"/>
    <w:uiPriority w:val="99"/>
    <w:qFormat/>
    <w:rsid w:val="0099620C"/>
    <w:pPr>
      <w:spacing w:after="0"/>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0"/>
    <w:uiPriority w:val="99"/>
    <w:qFormat/>
    <w:rsid w:val="0099620C"/>
    <w:pPr>
      <w:spacing w:after="0"/>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0"/>
    <w:uiPriority w:val="99"/>
    <w:qFormat/>
    <w:rsid w:val="00AD7224"/>
    <w:pPr>
      <w:spacing w:after="0"/>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0"/>
    <w:uiPriority w:val="99"/>
    <w:qFormat/>
    <w:rsid w:val="00F93E63"/>
    <w:pPr>
      <w:spacing w:after="0"/>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0"/>
    <w:uiPriority w:val="99"/>
    <w:qFormat/>
    <w:rsid w:val="00E868FB"/>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0"/>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0"/>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Beschriftung">
    <w:name w:val="caption"/>
    <w:basedOn w:val="Standard"/>
    <w:next w:val="Standard"/>
    <w:uiPriority w:val="35"/>
    <w:semiHidden/>
    <w:unhideWhenUsed/>
    <w:qFormat/>
    <w:rsid w:val="00805BCE"/>
    <w:pPr>
      <w:spacing w:line="240" w:lineRule="auto"/>
    </w:pPr>
    <w:rPr>
      <w:b/>
      <w:bCs/>
      <w:color w:val="4F81BD" w:themeColor="accent1"/>
      <w:sz w:val="18"/>
      <w:szCs w:val="18"/>
    </w:rPr>
  </w:style>
  <w:style w:type="character" w:styleId="Hyperlink">
    <w:name w:val="Hyperlink"/>
    <w:basedOn w:val="Absatz-Standardschriftar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dverband.de/sites/default/files/2017-10%20DJV-FLI_2_Massnahmenkatalog-AS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7B98-7DAB-47A9-AB1C-427C70D7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Martinsohn</dc:creator>
  <cp:lastModifiedBy>Torsten Reinwald</cp:lastModifiedBy>
  <cp:revision>2</cp:revision>
  <dcterms:created xsi:type="dcterms:W3CDTF">2018-01-18T09:33:00Z</dcterms:created>
  <dcterms:modified xsi:type="dcterms:W3CDTF">2018-01-18T09:33:00Z</dcterms:modified>
</cp:coreProperties>
</file>